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36793D" w:rsidRDefault="000264D4">
      <w:pPr>
        <w:pStyle w:val="Heading1"/>
        <w:rPr>
          <w:color w:val="000000"/>
        </w:rPr>
      </w:pPr>
      <w:bookmarkStart w:id="0" w:name="_GoBack"/>
      <w:bookmarkEnd w:id="0"/>
      <w:r>
        <w:rPr>
          <w:color w:val="000000"/>
        </w:rPr>
        <w:t xml:space="preserve">BEPS Procedural Objection to Targeted Consultation </w:t>
      </w:r>
    </w:p>
    <w:p w14:paraId="00000002" w14:textId="77777777" w:rsidR="0036793D" w:rsidRDefault="000264D4">
      <w:pPr>
        <w:rPr>
          <w:color w:val="467886"/>
        </w:rPr>
      </w:pPr>
      <w:r>
        <w:t>To: The Planning Inspectorate (for the attention of the Case Manager, East Pye Solar Project)</w:t>
      </w:r>
      <w:r>
        <w:br/>
      </w:r>
      <w:hyperlink r:id="rId7">
        <w:r>
          <w:rPr>
            <w:color w:val="467886"/>
            <w:u w:val="single"/>
          </w:rPr>
          <w:t>eastpyesolar@planninginspectorate.gov.uk</w:t>
        </w:r>
      </w:hyperlink>
    </w:p>
    <w:p w14:paraId="00000003" w14:textId="77777777" w:rsidR="0036793D" w:rsidRDefault="000264D4">
      <w:r>
        <w:t>and</w:t>
      </w:r>
      <w:r>
        <w:br/>
        <w:t>East Pye Solar Limited (Island Green Power Ltd)</w:t>
      </w:r>
      <w:r>
        <w:br/>
      </w:r>
      <w:hyperlink r:id="rId8">
        <w:r>
          <w:rPr>
            <w:color w:val="467886"/>
            <w:sz w:val="24"/>
            <w:szCs w:val="24"/>
            <w:u w:val="single"/>
          </w:rPr>
          <w:t>info@eastpyesolar.co.uk</w:t>
        </w:r>
      </w:hyperlink>
    </w:p>
    <w:p w14:paraId="00000004" w14:textId="77777777" w:rsidR="0036793D" w:rsidRDefault="000264D4">
      <w:r>
        <w:br/>
        <w:t>Submitted by: Member of BEPS – Residents’ Campaign Group</w:t>
      </w:r>
      <w:r>
        <w:br/>
        <w:t xml:space="preserve">Subject: Procedural Objection to Targeted Consultation – Non-Compliance </w:t>
      </w:r>
      <w:r>
        <w:t>with the Planning Act 2008 Consultation and Environmental Assessment Requirements for East Pye Solar NSIP</w:t>
      </w:r>
    </w:p>
    <w:p w14:paraId="00000005" w14:textId="77777777" w:rsidR="0036793D" w:rsidRDefault="000264D4">
      <w:pPr>
        <w:pStyle w:val="Heading2"/>
        <w:rPr>
          <w:color w:val="000000"/>
        </w:rPr>
      </w:pPr>
      <w:r>
        <w:rPr>
          <w:color w:val="000000"/>
        </w:rPr>
        <w:t>1. Purpose of this objection</w:t>
      </w:r>
    </w:p>
    <w:p w14:paraId="00000006" w14:textId="77777777" w:rsidR="0036793D" w:rsidRDefault="000264D4">
      <w:r>
        <w:t>This representation is made on behalf of BEPS supporters to place on record a procedural objection to the adequacy and la</w:t>
      </w:r>
      <w:r>
        <w:t>wfulness of East Pye Solar Ltd’s consultation and environmental assessment process to date, under the Planning Act 2008 (Sections 42–48, 55) and associated EIA Regulations 2017. It requests that the Planning Inspectorate does not accept any future DCO subm</w:t>
      </w:r>
      <w:r>
        <w:t>ission for East Pye Solar until the Applicant has demonstrated full statutory compliance.</w:t>
      </w:r>
    </w:p>
    <w:p w14:paraId="00000007" w14:textId="77777777" w:rsidR="0036793D" w:rsidRDefault="000264D4">
      <w:pPr>
        <w:pStyle w:val="Heading2"/>
        <w:rPr>
          <w:color w:val="000000"/>
        </w:rPr>
      </w:pPr>
      <w:r>
        <w:rPr>
          <w:color w:val="000000"/>
        </w:rPr>
        <w:t>2. Failure to undertake a valid consultation in accordance with the published SoCC</w:t>
      </w:r>
    </w:p>
    <w:p w14:paraId="00000008" w14:textId="77777777" w:rsidR="0036793D" w:rsidRDefault="000264D4">
      <w:r>
        <w:t>The Applicant’s Statement of Community Consultation (SoCC), published in June 2025,</w:t>
      </w:r>
      <w:r>
        <w:t xml:space="preserve"> sets out how local communities would be consulted prior to DCO submission. However, the Targeted Consultation (22 Oct – 26 Nov 2025) introduces new and materially altered works – including substation land, access routes, and extensive vegetation removal –</w:t>
      </w:r>
      <w:r>
        <w:t xml:space="preserve"> without any updated or republished SoCC or any public notice under Section 47(6). No new SoCC notice has been identified in any statutory notice portal or on East Pye Solar’s own website, confirming that the June 2025 SoCC remains the only version in forc</w:t>
      </w:r>
      <w:r>
        <w:t>e. This means that no legally compliant consultation has been undertaken for the new or changed development areas.</w:t>
      </w:r>
      <w:r>
        <w:br/>
      </w:r>
      <w:r>
        <w:br/>
        <w:t>Contravention: Sections 47(1), 47(6), 55(3)(e) of the Planning Act 2008.</w:t>
      </w:r>
    </w:p>
    <w:p w14:paraId="00000009" w14:textId="77777777" w:rsidR="0036793D" w:rsidRDefault="000264D4">
      <w:pPr>
        <w:pStyle w:val="Heading2"/>
        <w:rPr>
          <w:color w:val="000000"/>
        </w:rPr>
      </w:pPr>
      <w:r>
        <w:rPr>
          <w:color w:val="000000"/>
        </w:rPr>
        <w:t>3. Inadequate consultation with affected statutory and non-statutor</w:t>
      </w:r>
      <w:r>
        <w:rPr>
          <w:color w:val="000000"/>
        </w:rPr>
        <w:t>y consultees</w:t>
      </w:r>
    </w:p>
    <w:p w14:paraId="0000000A" w14:textId="77777777" w:rsidR="0036793D" w:rsidRDefault="000264D4">
      <w:r>
        <w:t>The Targeted Consultation has omitted or failed to re-consult key bodies and landowners newly affected by expanded infrastructure, including:</w:t>
      </w:r>
      <w:r>
        <w:br/>
        <w:t>• Civil Aviation Authority / GAAC (regarding proximity to Tibenham Airfield)</w:t>
      </w:r>
      <w:r>
        <w:br/>
      </w:r>
      <w:r>
        <w:lastRenderedPageBreak/>
        <w:t>• Local water-supply sta</w:t>
      </w:r>
      <w:r>
        <w:t>keholders and private well owners</w:t>
      </w:r>
      <w:r>
        <w:br/>
        <w:t>• Parish Councils newly impacted by revised haulage routes</w:t>
      </w:r>
      <w:r>
        <w:br/>
        <w:t>• Heritage and environmental consultees where new receptors have been introduced</w:t>
      </w:r>
      <w:r>
        <w:br/>
      </w:r>
      <w:r>
        <w:br/>
        <w:t>These omissions render the consultation procedurally defective under Section 42(1</w:t>
      </w:r>
      <w:r>
        <w:t>)(d) and Regulation 12(2)(a) of the EIA Regulations.</w:t>
      </w:r>
    </w:p>
    <w:p w14:paraId="0000000B" w14:textId="77777777" w:rsidR="0036793D" w:rsidRDefault="000264D4">
      <w:pPr>
        <w:pStyle w:val="Heading2"/>
        <w:rPr>
          <w:color w:val="000000"/>
        </w:rPr>
      </w:pPr>
      <w:r>
        <w:rPr>
          <w:color w:val="000000"/>
        </w:rPr>
        <w:t>4. Invalid and outdated environmental baseline data</w:t>
      </w:r>
    </w:p>
    <w:p w14:paraId="0000000C" w14:textId="77777777" w:rsidR="0036793D" w:rsidRDefault="000264D4">
      <w:r>
        <w:t>The PEIR and targeted materials continue to rely on ecological and environmental baseline surveys gathered prior to these changes. The Applicant has ac</w:t>
      </w:r>
      <w:r>
        <w:t>knowledged that baseline data were not updated to reflect vegetation clearance, agricultural change, or altered site boundaries, contrary to Planning Inspectorate Advice Note Seven (EIA Scoping – para 3.9) and the EIA Regulations Reg. 14(2)(b). The new pro</w:t>
      </w:r>
      <w:r>
        <w:t>posed haulage routes are unworkable due to weight limitations and impact seven Conservation Areas, the impacts on which have not been assessed. There is no updated traffic or road safety EIA update for any of these proposed new routes - one of which passes</w:t>
      </w:r>
      <w:r>
        <w:t xml:space="preserve"> directly in front of a primary school, and the majority of which pass through or adjacent to Conservation Areas.  Consequently, the consultation documents do not constitute valid 'environmental information' within the meaning of Regulation 3, invalidating</w:t>
      </w:r>
      <w:r>
        <w:t xml:space="preserve"> the consultation as an EIA stage. The new position of the National Grid substation has not been discussed or agreed with National Grid and is within 3km of an active airfield - no modelling has been provided for the new location or increased height of the</w:t>
      </w:r>
      <w:r>
        <w:t xml:space="preserve"> substations or pylons - clear non-compliance with Scoping Opinion 4.11.3 and 5.3.1 No revised PEIR has been issued to outline impacts to the airfield, or residents of Great Moulton now that the infrastructure is significantly closer to the village. No upd</w:t>
      </w:r>
      <w:r>
        <w:t>ated visualisations, ZTVs or cumulative setting impacts have been provided, contrary to PINS direction. No updated environmental baseline for the major 400KV substation change has been provided. The document states ‘the additional areas do not change the l</w:t>
      </w:r>
      <w:r>
        <w:t>ikely significant effects’ of the PEIR EIA (which is materially untrue, particularly with regard to the higher infrastructure around Tibenham Airfield) but provided no evidence, no supporting assessment or matrices, breaching the ‘proportionate but justifi</w:t>
      </w:r>
      <w:r>
        <w:t>ed’ EIA requirement. No updated cumulative impact assessment has been provided.</w:t>
      </w:r>
      <w:r>
        <w:br/>
      </w:r>
      <w:r>
        <w:br/>
        <w:t>Contravention: EIA Regulations 2017 – Regulations 3, 12, 14, 17.</w:t>
      </w:r>
    </w:p>
    <w:p w14:paraId="0000000D" w14:textId="77777777" w:rsidR="0036793D" w:rsidRDefault="000264D4">
      <w:pPr>
        <w:pStyle w:val="Heading2"/>
        <w:rPr>
          <w:color w:val="000000"/>
        </w:rPr>
      </w:pPr>
      <w:r>
        <w:rPr>
          <w:color w:val="000000"/>
        </w:rPr>
        <w:t>5. Failure to re-consult on material design changes</w:t>
      </w:r>
    </w:p>
    <w:p w14:paraId="0000000E" w14:textId="77777777" w:rsidR="0036793D" w:rsidRDefault="000264D4">
      <w:r>
        <w:t>Substantial design alterations have occurred since the PEI</w:t>
      </w:r>
      <w:r>
        <w:t>R consultation, including removal and re-routing of access corridors, new, enlarged grid-connection alignments, and significant vegetation removal works from approximately 26 sites. There is also no acknowledgement of the cumulative impact of Tasway Energy</w:t>
      </w:r>
      <w:r>
        <w:t xml:space="preserve"> Park, which adjoins East Pye Solar at the existing Tasburgh solar fields, is under non-statutory consultation, and together would cover 6,500 acres of farmland with solar infrastructure. This omission is disingenuous as we have evidence that East Pye Sola</w:t>
      </w:r>
      <w:r>
        <w:t xml:space="preserve">r is in discussion with Tasway Energy Park about sharing a grid connection at Great Moulton, which would significantly increase the infrastructure threatening the village and also aviation at Tibenham Airfield. The </w:t>
      </w:r>
      <w:r>
        <w:lastRenderedPageBreak/>
        <w:t xml:space="preserve">Applicant’s claim that these changes are </w:t>
      </w:r>
      <w:r>
        <w:t>'minor' is inconsistent with PINS Advice Note 16 (How to request a change to a DCO application – para 2.2) which defines 'material' changes as those introducing new or additional receptors or effects. As these design changes have not been consulted on in a</w:t>
      </w:r>
      <w:r>
        <w:t>ccordance with a republished SoCC, the consultation process fails the 'adequacy of consultation' test under Section 55(3)(e).</w:t>
      </w:r>
    </w:p>
    <w:p w14:paraId="0000000F" w14:textId="77777777" w:rsidR="0036793D" w:rsidRDefault="000264D4">
      <w:pPr>
        <w:pStyle w:val="Heading2"/>
        <w:rPr>
          <w:color w:val="000000"/>
        </w:rPr>
      </w:pPr>
      <w:r>
        <w:rPr>
          <w:color w:val="000000"/>
        </w:rPr>
        <w:t>6. Deficiency in published information and accessibility</w:t>
      </w:r>
    </w:p>
    <w:p w14:paraId="00000010" w14:textId="77777777" w:rsidR="0036793D" w:rsidRDefault="000264D4">
      <w:r>
        <w:t>The consultation documents, maps, and plans were unavailable in printed f</w:t>
      </w:r>
      <w:r>
        <w:t>orm at the opening of the consultation, breaching Section 48(2)(a) requirements for adequate publicity. Hard copies were not made available at all the locations named in the SoCC.. As a result, affected residents could not reasonably access the material, c</w:t>
      </w:r>
      <w:r>
        <w:t>onstituting a failure to give the public a fair opportunity to respond. Several villages leafleted for the targeted consultation, including Wacton and Aslacton, were not included in the original Statutory Consultation and therefore had no opportunity to co</w:t>
      </w:r>
      <w:r>
        <w:t>nsult on the project as a whole. This is also true of villages on the new haulage routes.</w:t>
      </w:r>
    </w:p>
    <w:p w14:paraId="00000011" w14:textId="77777777" w:rsidR="0036793D" w:rsidRDefault="000264D4">
      <w:pPr>
        <w:pStyle w:val="Heading2"/>
        <w:rPr>
          <w:color w:val="000000"/>
        </w:rPr>
      </w:pPr>
      <w:r>
        <w:rPr>
          <w:color w:val="000000"/>
        </w:rPr>
        <w:t>7. Request for PINS action</w:t>
      </w:r>
    </w:p>
    <w:p w14:paraId="00000012" w14:textId="77777777" w:rsidR="0036793D" w:rsidRDefault="000264D4">
      <w:r>
        <w:t>BEPS supporters therefore respectfully request that the Planning Inspectorate:</w:t>
      </w:r>
      <w:r>
        <w:br/>
        <w:t>1. Refuse to accept any DCO submission for East Pye Solar un</w:t>
      </w:r>
      <w:r>
        <w:t>til the Applicant issues and publicises an updated SoCC and undertakes a full re-consultation under Sections 42 and 47.</w:t>
      </w:r>
      <w:r>
        <w:br/>
        <w:t>2. Require the Applicant to provide updated and verified environmental baseline data in accordance with the EIA Regulations before resub</w:t>
      </w:r>
      <w:r>
        <w:t>mitting any EIA.</w:t>
      </w:r>
      <w:r>
        <w:br/>
        <w:t>3. Treat any future 'Adequacy of Consultation' responses from local authorities as contested, and seek independent verification from PINS legal services.</w:t>
      </w:r>
    </w:p>
    <w:p w14:paraId="00000013" w14:textId="77777777" w:rsidR="0036793D" w:rsidRDefault="000264D4">
      <w:pPr>
        <w:pStyle w:val="Heading2"/>
        <w:rPr>
          <w:color w:val="000000"/>
        </w:rPr>
      </w:pPr>
      <w:r>
        <w:rPr>
          <w:color w:val="000000"/>
        </w:rPr>
        <w:t>8. Conclusion</w:t>
      </w:r>
    </w:p>
    <w:p w14:paraId="00000014" w14:textId="77777777" w:rsidR="0036793D" w:rsidRDefault="000264D4">
      <w:r>
        <w:t>This objection is not concerned with the planning merits of the proposa</w:t>
      </w:r>
      <w:r>
        <w:t>l but with its procedural and legal compliance. Unless and until the deficiencies identified above are rectified, any subsequent DCO application would be invalid in law under Section 55(3)(e) of the Planning Act 2008 and Regulation 3 of the EIA Regulations</w:t>
      </w:r>
      <w:r>
        <w:t xml:space="preserve"> 2017.</w:t>
      </w:r>
    </w:p>
    <w:p w14:paraId="00000015" w14:textId="77777777" w:rsidR="0036793D" w:rsidRDefault="000264D4">
      <w:r>
        <w:br/>
        <w:t>Submitted respectfully on behalf of:</w:t>
      </w:r>
      <w:r>
        <w:br/>
        <w:t>BEPS – Residents’ campaign group</w:t>
      </w:r>
    </w:p>
    <w:p w14:paraId="00000016" w14:textId="77777777" w:rsidR="0036793D" w:rsidRDefault="000264D4">
      <w:r>
        <w:br/>
      </w:r>
      <w:r>
        <w:br/>
        <w:t>(Individual supporters may sign below and add their own detailed objections to the proposals)</w:t>
      </w:r>
    </w:p>
    <w:sectPr w:rsidR="0036793D">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embedRegular r:id="rId1" w:fontKey="{11037F32-988B-4FB1-81FB-C43FCB4DA388}"/>
    <w:embedBold r:id="rId2" w:fontKey="{151E25DE-FF4A-44EA-A90B-A7905242BB66}"/>
    <w:embedItalic r:id="rId3" w:fontKey="{2EFF9D54-4F81-4D24-BEBE-F3C60B556177}"/>
    <w:embedBoldItalic r:id="rId4" w:fontKey="{772C946C-3839-4B9C-BDA1-68704FA7C6C0}"/>
  </w:font>
  <w:font w:name="Calibri">
    <w:panose1 w:val="020F0502020204030204"/>
    <w:charset w:val="00"/>
    <w:family w:val="swiss"/>
    <w:pitch w:val="variable"/>
    <w:sig w:usb0="E4002EFF" w:usb1="C000247B" w:usb2="00000009" w:usb3="00000000" w:csb0="000001FF" w:csb1="00000000"/>
    <w:embedRegular r:id="rId5" w:fontKey="{A3607806-0B90-4EE5-B0DB-8E24C0E0F9E2}"/>
    <w:embedBold r:id="rId6" w:fontKey="{57468CF7-1A4F-4669-BB42-EC54A1C918AA}"/>
    <w:embedItalic r:id="rId7" w:fontKey="{3DDA3191-9D30-4391-ABD4-053115FE7F7F}"/>
    <w:embedBoldItalic r:id="rId8" w:fontKey="{BF95AE23-F2D9-447D-A072-E3BA2CC25D4F}"/>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02FBF"/>
    <w:multiLevelType w:val="multilevel"/>
    <w:tmpl w:val="E044486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36793D"/>
    <w:rsid w:val="000264D4"/>
    <w:rsid w:val="00367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rPr>
      <w:rFonts w:ascii="Calibri" w:eastAsia="Calibri" w:hAnsi="Calibri" w:cs="Calibri"/>
      <w:i/>
      <w:iCs/>
      <w:color w:val="4F81B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info@eastpyesolar.co.uk" TargetMode="External"/><Relationship Id="rId3" Type="http://schemas.openxmlformats.org/officeDocument/2006/relationships/styles" Target="styles.xml"/><Relationship Id="rId7" Type="http://schemas.openxmlformats.org/officeDocument/2006/relationships/hyperlink" Target="mailto:eastpyesolar@planninginspectorate.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GNDTk543kJclW3VbMwGR8De41w==">CgMxLjA4AHIhMWRWMUtEbDJScFlMSlgwWXloUHZ1Yzk3M0x6bGlLTG83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Keith</cp:lastModifiedBy>
  <cp:revision>2</cp:revision>
  <dcterms:created xsi:type="dcterms:W3CDTF">2025-11-12T10:27:00Z</dcterms:created>
  <dcterms:modified xsi:type="dcterms:W3CDTF">2025-11-12T10:27:00Z</dcterms:modified>
</cp:coreProperties>
</file>